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300040" w:rsidRPr="004D2480" w:rsidTr="00514A69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040" w:rsidRPr="004D2480" w:rsidRDefault="00300040" w:rsidP="00514A6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Post-Modern/Post-Colonial Literature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321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ENG321-231321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ENG321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At the end of the module the students will be able to:</w:t>
            </w:r>
          </w:p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•Students will understand key theoretical concepts of postmodernism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and postmodernity through the study of selected fictional works 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feature films</w:t>
            </w:r>
          </w:p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•They will understand the cultural and social implications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postmodernism and postmodernity in terms of the contemporary media,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and contemporary architecture and design.</w:t>
            </w:r>
          </w:p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•They will develop advanced skills at conceptual and analytical reading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and writing.</w:t>
            </w:r>
          </w:p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•They will understand the meaning of post colonialism, and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implications of this concept within contemporary world literature written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in English.</w:t>
            </w:r>
            <w:r w:rsidRPr="00EF0C96">
              <w:rPr>
                <w:rFonts w:cs="Arial"/>
                <w:sz w:val="18"/>
                <w:szCs w:val="18"/>
              </w:rPr>
              <w:tab/>
            </w:r>
            <w:r w:rsidRPr="00EF0C96">
              <w:rPr>
                <w:rFonts w:cs="Arial"/>
                <w:sz w:val="18"/>
                <w:szCs w:val="18"/>
              </w:rPr>
              <w:tab/>
            </w:r>
            <w:r w:rsidRPr="00EF0C96">
              <w:rPr>
                <w:rFonts w:cs="Arial"/>
                <w:sz w:val="18"/>
                <w:szCs w:val="18"/>
              </w:rPr>
              <w:tab/>
            </w:r>
            <w:r w:rsidRPr="00EF0C96">
              <w:rPr>
                <w:rFonts w:cs="Arial"/>
                <w:sz w:val="18"/>
                <w:szCs w:val="18"/>
              </w:rPr>
              <w:tab/>
            </w:r>
          </w:p>
          <w:p w:rsidR="00300040" w:rsidRPr="006476E4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C96">
              <w:rPr>
                <w:rFonts w:cs="Arial"/>
                <w:sz w:val="18"/>
                <w:szCs w:val="18"/>
              </w:rPr>
              <w:t>•They will understand the links between postcolonial writing from Africa,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sz w:val="18"/>
                <w:szCs w:val="18"/>
              </w:rPr>
              <w:t>South-East Asia, the Caribbean and the Americas.</w:t>
            </w:r>
          </w:p>
        </w:tc>
      </w:tr>
      <w:tr w:rsidR="00300040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300040" w:rsidRPr="00EF0C96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F0C96">
              <w:rPr>
                <w:rFonts w:cs="Arial"/>
                <w:color w:val="000000"/>
                <w:sz w:val="18"/>
                <w:szCs w:val="18"/>
              </w:rPr>
              <w:t>The content of this course presupposes an understanding of the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approaches to the European Renaissance and of Modernism taught in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ENG 311. The content will be offered in the form of course readers,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prescribed set works, and selected feature films. The material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concerning postmodernism will include key theoretical texts and creative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material from the second half of the twentieth century to the present.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Postcolonial studies will focus on literature from the developing world,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including issues such as independence and nation-building, cross-cultural identity, and the legacy of slavery and colonialism. Key</w:t>
            </w:r>
          </w:p>
          <w:p w:rsidR="00300040" w:rsidRPr="006476E4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F0C96">
              <w:rPr>
                <w:rFonts w:cs="Arial"/>
                <w:color w:val="000000"/>
                <w:sz w:val="18"/>
                <w:szCs w:val="18"/>
              </w:rPr>
              <w:t>theoretical</w:t>
            </w:r>
            <w:proofErr w:type="gramEnd"/>
            <w:r w:rsidRPr="00EF0C96">
              <w:rPr>
                <w:rFonts w:cs="Arial"/>
                <w:color w:val="000000"/>
                <w:sz w:val="18"/>
                <w:szCs w:val="18"/>
              </w:rPr>
              <w:t xml:space="preserve"> readings will be provided in course readers.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Studen</w:t>
            </w:r>
            <w:r>
              <w:rPr>
                <w:rFonts w:cs="Arial"/>
                <w:color w:val="000000"/>
                <w:sz w:val="18"/>
                <w:szCs w:val="18"/>
              </w:rPr>
              <w:t>ts will be encouraged to debate c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onnections between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C96">
              <w:rPr>
                <w:rFonts w:cs="Arial"/>
                <w:color w:val="000000"/>
                <w:sz w:val="18"/>
                <w:szCs w:val="18"/>
              </w:rPr>
              <w:t>postmodernism and post colonialism.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 211 &amp; 221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311. 3</w:t>
            </w:r>
            <w:r w:rsidRPr="000E6EC1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year English Studies electives are recommended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300040" w:rsidRPr="006476E4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According to Arts clash-group restrictions</w:t>
            </w: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6476E4" w:rsidRDefault="00300040" w:rsidP="003000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300040" w:rsidRPr="006476E4" w:rsidRDefault="00300040" w:rsidP="0030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2276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Essays</w:t>
            </w:r>
          </w:p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Class Tests</w:t>
            </w:r>
          </w:p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Tutorial Exercises</w:t>
            </w:r>
          </w:p>
          <w:p w:rsidR="00300040" w:rsidRPr="00F630DA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20%</w:t>
            </w:r>
          </w:p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30%</w:t>
            </w:r>
          </w:p>
          <w:p w:rsidR="00300040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10%</w:t>
            </w:r>
          </w:p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138" w:type="dxa"/>
            <w:gridSpan w:val="2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300040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300040" w:rsidRPr="006476E4" w:rsidRDefault="00300040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300040" w:rsidRPr="006476E4" w:rsidRDefault="00300040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300040">
      <w:bookmarkStart w:id="0" w:name="_GoBack"/>
      <w:bookmarkEnd w:id="0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0305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0"/>
    <w:rsid w:val="00300040"/>
    <w:rsid w:val="004D0043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897E4-493B-4470-8AC0-94223ACD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2015-12-11T21:23:00Z</dcterms:created>
  <dcterms:modified xsi:type="dcterms:W3CDTF">2015-12-11T21:23:00Z</dcterms:modified>
</cp:coreProperties>
</file>